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8E26" w14:textId="043DE507" w:rsidR="00B45076" w:rsidRDefault="00195CF6">
      <w:r>
        <w:t>NCDs as a percent of all deaths</w:t>
      </w:r>
      <w:r w:rsidR="00B766BA">
        <w:t xml:space="preserve"> for countries in Asia and the Pacific </w:t>
      </w:r>
      <w:bookmarkStart w:id="0" w:name="_GoBack"/>
      <w:bookmarkEnd w:id="0"/>
    </w:p>
    <w:p w14:paraId="3D2F2C09" w14:textId="77777777" w:rsidR="00B766BA" w:rsidRPr="00B766BA" w:rsidRDefault="00195CF6" w:rsidP="00B766BA">
      <w:r>
        <w:t>Source</w:t>
      </w:r>
      <w:proofErr w:type="gramStart"/>
      <w:r w:rsidR="00B766BA">
        <w:t xml:space="preserve">: </w:t>
      </w:r>
      <w:r w:rsidR="00B766BA" w:rsidRPr="00B766BA">
        <w:t>:</w:t>
      </w:r>
      <w:proofErr w:type="gramEnd"/>
      <w:r w:rsidR="00B766BA" w:rsidRPr="00B766BA">
        <w:t xml:space="preserve"> World Health Organization (2018)  </w:t>
      </w:r>
      <w:r w:rsidR="00B766BA" w:rsidRPr="00B766BA">
        <w:rPr>
          <w:i/>
        </w:rPr>
        <w:t xml:space="preserve">NCD Country Profiles 2018 </w:t>
      </w:r>
    </w:p>
    <w:p w14:paraId="67AA9B48" w14:textId="4B7AE815" w:rsidR="00195CF6" w:rsidRDefault="00195CF6"/>
    <w:p w14:paraId="4F39A2DD" w14:textId="7129CCF4" w:rsidR="00195CF6" w:rsidRDefault="00195CF6"/>
    <w:p w14:paraId="6BA89038" w14:textId="4B1EE9A5" w:rsidR="00195CF6" w:rsidRDefault="00195CF6">
      <w:r>
        <w:rPr>
          <w:noProof/>
        </w:rPr>
        <w:drawing>
          <wp:inline distT="0" distB="0" distL="0" distR="0" wp14:anchorId="7BF62FF0" wp14:editId="2E99F197">
            <wp:extent cx="4572000" cy="50482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444A649-F895-4AFF-B134-BB4E11E6B4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9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C"/>
    <w:rsid w:val="00195CF6"/>
    <w:rsid w:val="003E1AEC"/>
    <w:rsid w:val="00B45076"/>
    <w:rsid w:val="00B7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25FC"/>
  <w15:chartTrackingRefBased/>
  <w15:docId w15:val="{2E6A3ADB-3BB8-47D7-8047-2E751121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892-4574-A744-876406FFCD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 NCDs as % total'!$A$2:$A$28</c:f>
              <c:strCache>
                <c:ptCount val="27"/>
                <c:pt idx="0">
                  <c:v>Timor Leste</c:v>
                </c:pt>
                <c:pt idx="1">
                  <c:v>Papua New Guinea</c:v>
                </c:pt>
                <c:pt idx="2">
                  <c:v>Pakistan</c:v>
                </c:pt>
                <c:pt idx="3">
                  <c:v>Laos</c:v>
                </c:pt>
                <c:pt idx="4">
                  <c:v>India</c:v>
                </c:pt>
                <c:pt idx="5">
                  <c:v>Cambodia</c:v>
                </c:pt>
                <c:pt idx="6">
                  <c:v>Kiribati </c:v>
                </c:pt>
                <c:pt idx="7">
                  <c:v>Nepal </c:v>
                </c:pt>
                <c:pt idx="8">
                  <c:v>Bangladesh</c:v>
                </c:pt>
                <c:pt idx="9">
                  <c:v>Philippines</c:v>
                </c:pt>
                <c:pt idx="10">
                  <c:v>Myanmar</c:v>
                </c:pt>
                <c:pt idx="11">
                  <c:v>Bhutan</c:v>
                </c:pt>
                <c:pt idx="12">
                  <c:v>Solomon Islands</c:v>
                </c:pt>
                <c:pt idx="13">
                  <c:v> Global average</c:v>
                </c:pt>
                <c:pt idx="14">
                  <c:v>Indonesia</c:v>
                </c:pt>
                <c:pt idx="15">
                  <c:v>Malaysia </c:v>
                </c:pt>
                <c:pt idx="16">
                  <c:v>Thailand</c:v>
                </c:pt>
                <c:pt idx="17">
                  <c:v>Vanuatu </c:v>
                </c:pt>
                <c:pt idx="18">
                  <c:v>Micronesia </c:v>
                </c:pt>
                <c:pt idx="19">
                  <c:v>Vietnam</c:v>
                </c:pt>
                <c:pt idx="20">
                  <c:v>Samoa </c:v>
                </c:pt>
                <c:pt idx="21">
                  <c:v>Sri Lanka</c:v>
                </c:pt>
                <c:pt idx="22">
                  <c:v>Tonga </c:v>
                </c:pt>
                <c:pt idx="23">
                  <c:v>Fiji</c:v>
                </c:pt>
                <c:pt idx="24">
                  <c:v>Australia </c:v>
                </c:pt>
                <c:pt idx="25">
                  <c:v>China</c:v>
                </c:pt>
                <c:pt idx="26">
                  <c:v>New Zealand</c:v>
                </c:pt>
              </c:strCache>
            </c:strRef>
          </c:cat>
          <c:val>
            <c:numRef>
              <c:f>'2 NCDs as % total'!$B$2:$B$28</c:f>
              <c:numCache>
                <c:formatCode>General</c:formatCode>
                <c:ptCount val="27"/>
                <c:pt idx="0">
                  <c:v>45</c:v>
                </c:pt>
                <c:pt idx="1">
                  <c:v>56</c:v>
                </c:pt>
                <c:pt idx="2">
                  <c:v>58</c:v>
                </c:pt>
                <c:pt idx="3">
                  <c:v>60</c:v>
                </c:pt>
                <c:pt idx="4">
                  <c:v>63</c:v>
                </c:pt>
                <c:pt idx="5">
                  <c:v>64</c:v>
                </c:pt>
                <c:pt idx="6">
                  <c:v>64</c:v>
                </c:pt>
                <c:pt idx="7">
                  <c:v>66</c:v>
                </c:pt>
                <c:pt idx="8">
                  <c:v>67</c:v>
                </c:pt>
                <c:pt idx="9">
                  <c:v>67</c:v>
                </c:pt>
                <c:pt idx="10">
                  <c:v>68</c:v>
                </c:pt>
                <c:pt idx="11">
                  <c:v>69</c:v>
                </c:pt>
                <c:pt idx="12">
                  <c:v>69</c:v>
                </c:pt>
                <c:pt idx="13">
                  <c:v>71</c:v>
                </c:pt>
                <c:pt idx="14">
                  <c:v>73</c:v>
                </c:pt>
                <c:pt idx="15">
                  <c:v>74</c:v>
                </c:pt>
                <c:pt idx="16">
                  <c:v>74</c:v>
                </c:pt>
                <c:pt idx="17">
                  <c:v>74</c:v>
                </c:pt>
                <c:pt idx="18">
                  <c:v>75</c:v>
                </c:pt>
                <c:pt idx="19">
                  <c:v>77</c:v>
                </c:pt>
                <c:pt idx="20">
                  <c:v>81</c:v>
                </c:pt>
                <c:pt idx="21">
                  <c:v>83</c:v>
                </c:pt>
                <c:pt idx="22">
                  <c:v>83</c:v>
                </c:pt>
                <c:pt idx="23">
                  <c:v>84</c:v>
                </c:pt>
                <c:pt idx="24">
                  <c:v>89</c:v>
                </c:pt>
                <c:pt idx="25">
                  <c:v>89</c:v>
                </c:pt>
                <c:pt idx="26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92-4574-A744-876406FFCD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52077352"/>
        <c:axId val="652078992"/>
      </c:barChart>
      <c:catAx>
        <c:axId val="652077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2078992"/>
        <c:crosses val="autoZero"/>
        <c:auto val="1"/>
        <c:lblAlgn val="ctr"/>
        <c:lblOffset val="100"/>
        <c:noMultiLvlLbl val="0"/>
      </c:catAx>
      <c:valAx>
        <c:axId val="652078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NCDs as per cent of all 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2077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2</cp:revision>
  <dcterms:created xsi:type="dcterms:W3CDTF">2019-02-07T04:59:00Z</dcterms:created>
  <dcterms:modified xsi:type="dcterms:W3CDTF">2019-03-06T04:28:00Z</dcterms:modified>
</cp:coreProperties>
</file>